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jc w:val="center"/>
        <w:rPr>
          <w:rFonts w:ascii="仿宋" w:hAnsi="仿宋" w:eastAsia="仿宋" w:cs="仿宋"/>
          <w:b/>
          <w:bCs/>
          <w:sz w:val="28"/>
          <w:szCs w:val="28"/>
        </w:rPr>
      </w:pPr>
      <w:bookmarkStart w:id="0" w:name="_GoBack"/>
      <w:r>
        <w:rPr>
          <w:rFonts w:hint="eastAsia" w:ascii="仿宋" w:hAnsi="仿宋" w:eastAsia="仿宋" w:cs="仿宋"/>
          <w:b/>
          <w:bCs/>
          <w:sz w:val="28"/>
          <w:szCs w:val="28"/>
        </w:rPr>
        <w:t>考点机构资格要求</w:t>
      </w:r>
    </w:p>
    <w:bookmarkEnd w:id="0"/>
    <w:p>
      <w:pPr>
        <w:ind w:firstLine="560"/>
        <w:rPr>
          <w:rFonts w:ascii="仿宋" w:hAnsi="仿宋" w:eastAsia="仿宋" w:cs="仿宋"/>
          <w:sz w:val="28"/>
          <w:szCs w:val="28"/>
        </w:rPr>
      </w:pPr>
      <w:r>
        <w:rPr>
          <w:rFonts w:hint="eastAsia" w:ascii="仿宋" w:hAnsi="仿宋" w:eastAsia="仿宋" w:cs="仿宋"/>
          <w:sz w:val="28"/>
          <w:szCs w:val="28"/>
        </w:rPr>
        <w:t>1、考点机构具备独立法人资格，个人不得承接考试业务。</w:t>
      </w:r>
    </w:p>
    <w:p>
      <w:pPr>
        <w:ind w:firstLine="560"/>
        <w:rPr>
          <w:rFonts w:ascii="仿宋" w:hAnsi="仿宋" w:eastAsia="仿宋" w:cs="仿宋"/>
          <w:sz w:val="28"/>
          <w:szCs w:val="28"/>
        </w:rPr>
      </w:pPr>
      <w:r>
        <w:rPr>
          <w:rFonts w:hint="eastAsia" w:ascii="仿宋" w:hAnsi="仿宋" w:eastAsia="仿宋" w:cs="仿宋"/>
          <w:sz w:val="28"/>
          <w:szCs w:val="28"/>
        </w:rPr>
        <w:t>2、考点机构应有行业考试的组织经验，尤其以组织过住建行业的考试为先。</w:t>
      </w:r>
    </w:p>
    <w:p>
      <w:pPr>
        <w:ind w:firstLine="560"/>
        <w:rPr>
          <w:rFonts w:ascii="仿宋" w:hAnsi="仿宋" w:eastAsia="仿宋" w:cs="仿宋"/>
          <w:sz w:val="28"/>
          <w:szCs w:val="28"/>
        </w:rPr>
      </w:pPr>
      <w:r>
        <w:rPr>
          <w:rFonts w:hint="eastAsia" w:ascii="仿宋" w:hAnsi="仿宋" w:eastAsia="仿宋" w:cs="仿宋"/>
          <w:sz w:val="28"/>
          <w:szCs w:val="28"/>
        </w:rPr>
        <w:t>3、考点机构从业信用良好，无违法、违规从业记录。</w:t>
      </w:r>
    </w:p>
    <w:p>
      <w:pPr>
        <w:ind w:firstLine="560"/>
        <w:rPr>
          <w:rFonts w:ascii="仿宋" w:hAnsi="仿宋" w:eastAsia="仿宋" w:cs="仿宋"/>
          <w:sz w:val="28"/>
          <w:szCs w:val="28"/>
        </w:rPr>
      </w:pPr>
      <w:r>
        <w:rPr>
          <w:rFonts w:hint="eastAsia" w:ascii="仿宋" w:hAnsi="仿宋" w:eastAsia="仿宋" w:cs="仿宋"/>
          <w:sz w:val="28"/>
          <w:szCs w:val="28"/>
        </w:rPr>
        <w:t>4、考点机构地址应处于交通便利位置，以方便考生到场考试。</w:t>
      </w:r>
    </w:p>
    <w:p>
      <w:pPr>
        <w:ind w:firstLine="560"/>
        <w:rPr>
          <w:rFonts w:ascii="仿宋" w:hAnsi="仿宋" w:eastAsia="仿宋" w:cs="仿宋"/>
          <w:sz w:val="28"/>
          <w:szCs w:val="28"/>
        </w:rPr>
      </w:pPr>
      <w:r>
        <w:rPr>
          <w:rFonts w:hint="eastAsia" w:ascii="仿宋" w:hAnsi="仿宋" w:eastAsia="仿宋" w:cs="仿宋"/>
          <w:sz w:val="28"/>
          <w:szCs w:val="28"/>
        </w:rPr>
        <w:t>5、考点机构应有足以支持考试组织任务顺利完成的人员配置和考场机位配置。</w:t>
      </w:r>
    </w:p>
    <w:p>
      <w:pPr>
        <w:ind w:firstLine="560"/>
        <w:rPr>
          <w:rFonts w:ascii="仿宋" w:hAnsi="仿宋" w:eastAsia="仿宋" w:cs="仿宋"/>
          <w:sz w:val="28"/>
          <w:szCs w:val="28"/>
        </w:rPr>
      </w:pPr>
      <w:r>
        <w:rPr>
          <w:rFonts w:hint="eastAsia" w:ascii="仿宋" w:hAnsi="仿宋" w:eastAsia="仿宋" w:cs="仿宋"/>
          <w:sz w:val="28"/>
          <w:szCs w:val="28"/>
        </w:rPr>
        <w:t>6、考场的硬件设施应能符合我公司考试系统的环境要求。每个考场配置符合要求的高清监控设备和身份证阅读器设备，并保证能接入“甘肃省住建行业从业人员培训管理信息系统”；每个考试机位应配备符合考试系统要求的考试机电脑和摄像头（用于人脸识别、监控）。</w:t>
      </w:r>
    </w:p>
    <w:p>
      <w:pPr>
        <w:rPr>
          <w:rFonts w:ascii="仿宋" w:hAnsi="仿宋" w:eastAsia="仿宋" w:cs="仿宋"/>
          <w:b/>
          <w:bCs/>
          <w:sz w:val="28"/>
          <w:szCs w:val="28"/>
        </w:rPr>
      </w:pPr>
      <w:r>
        <w:rPr>
          <w:rFonts w:hint="eastAsia" w:ascii="仿宋" w:hAnsi="仿宋" w:eastAsia="仿宋" w:cs="仿宋"/>
          <w:b/>
          <w:bCs/>
          <w:sz w:val="28"/>
          <w:szCs w:val="28"/>
        </w:rPr>
        <w:t>考试管理机&amp;考试服务器硬件配置要求</w:t>
      </w:r>
    </w:p>
    <w:tbl>
      <w:tblPr>
        <w:tblStyle w:val="2"/>
        <w:tblW w:w="8985" w:type="dxa"/>
        <w:tblInd w:w="-294" w:type="dxa"/>
        <w:tblLayout w:type="fixed"/>
        <w:tblCellMar>
          <w:top w:w="15" w:type="dxa"/>
          <w:left w:w="15" w:type="dxa"/>
          <w:bottom w:w="15" w:type="dxa"/>
          <w:right w:w="15" w:type="dxa"/>
        </w:tblCellMar>
      </w:tblPr>
      <w:tblGrid>
        <w:gridCol w:w="2025"/>
        <w:gridCol w:w="3960"/>
        <w:gridCol w:w="3000"/>
      </w:tblGrid>
      <w:tr>
        <w:tblPrEx>
          <w:tblCellMar>
            <w:top w:w="15" w:type="dxa"/>
            <w:left w:w="15" w:type="dxa"/>
            <w:bottom w:w="15" w:type="dxa"/>
            <w:right w:w="15" w:type="dxa"/>
          </w:tblCellMar>
        </w:tblPrEx>
        <w:trPr>
          <w:trHeight w:val="463" w:hRule="atLeast"/>
        </w:trPr>
        <w:tc>
          <w:tcPr>
            <w:tcW w:w="202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jc w:val="center"/>
              <w:rPr>
                <w:rFonts w:ascii="仿宋" w:hAnsi="仿宋" w:eastAsia="仿宋" w:cs="仿宋"/>
                <w:spacing w:val="-3"/>
                <w:sz w:val="28"/>
                <w:szCs w:val="28"/>
              </w:rPr>
            </w:pPr>
            <w:r>
              <w:rPr>
                <w:rFonts w:hint="eastAsia" w:ascii="仿宋" w:hAnsi="仿宋" w:eastAsia="仿宋" w:cs="仿宋"/>
                <w:spacing w:val="-3"/>
                <w:sz w:val="28"/>
                <w:szCs w:val="28"/>
              </w:rPr>
              <w:t>硬件</w:t>
            </w:r>
          </w:p>
        </w:tc>
        <w:tc>
          <w:tcPr>
            <w:tcW w:w="396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jc w:val="center"/>
              <w:rPr>
                <w:rFonts w:ascii="仿宋" w:hAnsi="仿宋" w:eastAsia="仿宋" w:cs="仿宋"/>
                <w:spacing w:val="-3"/>
                <w:sz w:val="28"/>
                <w:szCs w:val="28"/>
              </w:rPr>
            </w:pPr>
            <w:r>
              <w:rPr>
                <w:rFonts w:hint="eastAsia" w:ascii="仿宋" w:hAnsi="仿宋" w:eastAsia="仿宋" w:cs="仿宋"/>
                <w:spacing w:val="-3"/>
                <w:sz w:val="28"/>
                <w:szCs w:val="28"/>
              </w:rPr>
              <w:t>推荐配置</w:t>
            </w:r>
          </w:p>
        </w:tc>
        <w:tc>
          <w:tcPr>
            <w:tcW w:w="300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jc w:val="center"/>
              <w:rPr>
                <w:rFonts w:ascii="仿宋" w:hAnsi="仿宋" w:eastAsia="仿宋" w:cs="仿宋"/>
                <w:spacing w:val="-3"/>
                <w:sz w:val="28"/>
                <w:szCs w:val="28"/>
              </w:rPr>
            </w:pPr>
            <w:r>
              <w:rPr>
                <w:rFonts w:hint="eastAsia" w:ascii="仿宋" w:hAnsi="仿宋" w:eastAsia="仿宋" w:cs="仿宋"/>
                <w:spacing w:val="-3"/>
                <w:sz w:val="28"/>
                <w:szCs w:val="28"/>
              </w:rPr>
              <w:t>最低配置</w:t>
            </w:r>
          </w:p>
        </w:tc>
      </w:tr>
      <w:tr>
        <w:tblPrEx>
          <w:tblCellMar>
            <w:top w:w="15" w:type="dxa"/>
            <w:left w:w="15" w:type="dxa"/>
            <w:bottom w:w="15" w:type="dxa"/>
            <w:right w:w="15" w:type="dxa"/>
          </w:tblCellMar>
        </w:tblPrEx>
        <w:trPr>
          <w:trHeight w:val="463" w:hRule="atLeast"/>
        </w:trPr>
        <w:tc>
          <w:tcPr>
            <w:tcW w:w="202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CPU</w:t>
            </w:r>
          </w:p>
        </w:tc>
        <w:tc>
          <w:tcPr>
            <w:tcW w:w="6960" w:type="dxa"/>
            <w:gridSpan w:val="2"/>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P42G以上</w:t>
            </w:r>
          </w:p>
        </w:tc>
      </w:tr>
      <w:tr>
        <w:tblPrEx>
          <w:tblCellMar>
            <w:top w:w="15" w:type="dxa"/>
            <w:left w:w="15" w:type="dxa"/>
            <w:bottom w:w="15" w:type="dxa"/>
            <w:right w:w="15" w:type="dxa"/>
          </w:tblCellMar>
        </w:tblPrEx>
        <w:trPr>
          <w:trHeight w:val="463" w:hRule="atLeast"/>
        </w:trPr>
        <w:tc>
          <w:tcPr>
            <w:tcW w:w="202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RAM</w:t>
            </w:r>
          </w:p>
        </w:tc>
        <w:tc>
          <w:tcPr>
            <w:tcW w:w="396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1GB以上</w:t>
            </w:r>
          </w:p>
        </w:tc>
        <w:tc>
          <w:tcPr>
            <w:tcW w:w="300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512MB以上</w:t>
            </w:r>
          </w:p>
        </w:tc>
      </w:tr>
      <w:tr>
        <w:tblPrEx>
          <w:tblCellMar>
            <w:top w:w="15" w:type="dxa"/>
            <w:left w:w="15" w:type="dxa"/>
            <w:bottom w:w="15" w:type="dxa"/>
            <w:right w:w="15" w:type="dxa"/>
          </w:tblCellMar>
        </w:tblPrEx>
        <w:trPr>
          <w:trHeight w:val="463" w:hRule="atLeast"/>
        </w:trPr>
        <w:tc>
          <w:tcPr>
            <w:tcW w:w="202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硬盘</w:t>
            </w:r>
          </w:p>
        </w:tc>
        <w:tc>
          <w:tcPr>
            <w:tcW w:w="6960" w:type="dxa"/>
            <w:gridSpan w:val="2"/>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40G以上(考试系统安装所在盘预留空间5G以上)</w:t>
            </w:r>
          </w:p>
        </w:tc>
      </w:tr>
      <w:tr>
        <w:tblPrEx>
          <w:tblCellMar>
            <w:top w:w="15" w:type="dxa"/>
            <w:left w:w="15" w:type="dxa"/>
            <w:bottom w:w="15" w:type="dxa"/>
            <w:right w:w="15" w:type="dxa"/>
          </w:tblCellMar>
        </w:tblPrEx>
        <w:trPr>
          <w:trHeight w:val="463" w:hRule="atLeast"/>
        </w:trPr>
        <w:tc>
          <w:tcPr>
            <w:tcW w:w="202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网卡</w:t>
            </w:r>
          </w:p>
        </w:tc>
        <w:tc>
          <w:tcPr>
            <w:tcW w:w="6960" w:type="dxa"/>
            <w:gridSpan w:val="2"/>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100M自适应网卡</w:t>
            </w:r>
          </w:p>
        </w:tc>
      </w:tr>
      <w:tr>
        <w:tblPrEx>
          <w:tblCellMar>
            <w:top w:w="15" w:type="dxa"/>
            <w:left w:w="15" w:type="dxa"/>
            <w:bottom w:w="15" w:type="dxa"/>
            <w:right w:w="15" w:type="dxa"/>
          </w:tblCellMar>
        </w:tblPrEx>
        <w:trPr>
          <w:trHeight w:val="463" w:hRule="atLeast"/>
        </w:trPr>
        <w:tc>
          <w:tcPr>
            <w:tcW w:w="202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显存</w:t>
            </w:r>
          </w:p>
        </w:tc>
        <w:tc>
          <w:tcPr>
            <w:tcW w:w="396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8M以上</w:t>
            </w:r>
          </w:p>
        </w:tc>
        <w:tc>
          <w:tcPr>
            <w:tcW w:w="300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2M以上</w:t>
            </w:r>
          </w:p>
        </w:tc>
      </w:tr>
      <w:tr>
        <w:tblPrEx>
          <w:tblCellMar>
            <w:top w:w="15" w:type="dxa"/>
            <w:left w:w="15" w:type="dxa"/>
            <w:bottom w:w="15" w:type="dxa"/>
            <w:right w:w="15" w:type="dxa"/>
          </w:tblCellMar>
        </w:tblPrEx>
        <w:trPr>
          <w:trHeight w:val="463" w:hRule="atLeast"/>
        </w:trPr>
        <w:tc>
          <w:tcPr>
            <w:tcW w:w="202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显卡</w:t>
            </w:r>
          </w:p>
        </w:tc>
        <w:tc>
          <w:tcPr>
            <w:tcW w:w="6960" w:type="dxa"/>
            <w:gridSpan w:val="2"/>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支持1024*768、32位真彩色</w:t>
            </w:r>
          </w:p>
        </w:tc>
      </w:tr>
      <w:tr>
        <w:tblPrEx>
          <w:tblCellMar>
            <w:top w:w="15" w:type="dxa"/>
            <w:left w:w="15" w:type="dxa"/>
            <w:bottom w:w="15" w:type="dxa"/>
            <w:right w:w="15" w:type="dxa"/>
          </w:tblCellMar>
        </w:tblPrEx>
        <w:trPr>
          <w:trHeight w:val="463" w:hRule="atLeast"/>
        </w:trPr>
        <w:tc>
          <w:tcPr>
            <w:tcW w:w="202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显示器</w:t>
            </w:r>
          </w:p>
        </w:tc>
        <w:tc>
          <w:tcPr>
            <w:tcW w:w="6960" w:type="dxa"/>
            <w:gridSpan w:val="2"/>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普通17寸以上彩色显示器</w:t>
            </w:r>
          </w:p>
        </w:tc>
      </w:tr>
      <w:tr>
        <w:tblPrEx>
          <w:tblCellMar>
            <w:top w:w="15" w:type="dxa"/>
            <w:left w:w="15" w:type="dxa"/>
            <w:bottom w:w="15" w:type="dxa"/>
            <w:right w:w="15" w:type="dxa"/>
          </w:tblCellMar>
        </w:tblPrEx>
        <w:trPr>
          <w:trHeight w:val="463" w:hRule="atLeast"/>
        </w:trPr>
        <w:tc>
          <w:tcPr>
            <w:tcW w:w="202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其他</w:t>
            </w:r>
          </w:p>
        </w:tc>
        <w:tc>
          <w:tcPr>
            <w:tcW w:w="6960" w:type="dxa"/>
            <w:gridSpan w:val="2"/>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高速调制解调器或专线、UPS</w:t>
            </w:r>
          </w:p>
        </w:tc>
      </w:tr>
      <w:tr>
        <w:tblPrEx>
          <w:tblCellMar>
            <w:top w:w="15" w:type="dxa"/>
            <w:left w:w="15" w:type="dxa"/>
            <w:bottom w:w="15" w:type="dxa"/>
            <w:right w:w="15" w:type="dxa"/>
          </w:tblCellMar>
        </w:tblPrEx>
        <w:trPr>
          <w:trHeight w:val="472" w:hRule="atLeast"/>
        </w:trPr>
        <w:tc>
          <w:tcPr>
            <w:tcW w:w="202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软件</w:t>
            </w:r>
          </w:p>
        </w:tc>
        <w:tc>
          <w:tcPr>
            <w:tcW w:w="6960" w:type="dxa"/>
            <w:gridSpan w:val="2"/>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WindowsXP/2003/7/10</w:t>
            </w:r>
          </w:p>
        </w:tc>
      </w:tr>
    </w:tbl>
    <w:p>
      <w:pPr>
        <w:rPr>
          <w:rFonts w:ascii="仿宋" w:hAnsi="仿宋" w:eastAsia="仿宋" w:cs="仿宋"/>
          <w:b/>
          <w:bCs/>
          <w:sz w:val="28"/>
          <w:szCs w:val="28"/>
        </w:rPr>
      </w:pPr>
      <w:r>
        <w:rPr>
          <w:rFonts w:hint="eastAsia" w:ascii="仿宋" w:hAnsi="仿宋" w:eastAsia="仿宋" w:cs="仿宋"/>
          <w:b/>
          <w:bCs/>
          <w:sz w:val="28"/>
          <w:szCs w:val="28"/>
        </w:rPr>
        <w:t>考试机硬件配置要求：</w:t>
      </w:r>
    </w:p>
    <w:tbl>
      <w:tblPr>
        <w:tblStyle w:val="2"/>
        <w:tblW w:w="8985" w:type="dxa"/>
        <w:tblInd w:w="-309" w:type="dxa"/>
        <w:tblLayout w:type="fixed"/>
        <w:tblCellMar>
          <w:top w:w="15" w:type="dxa"/>
          <w:left w:w="15" w:type="dxa"/>
          <w:bottom w:w="15" w:type="dxa"/>
          <w:right w:w="15" w:type="dxa"/>
        </w:tblCellMar>
      </w:tblPr>
      <w:tblGrid>
        <w:gridCol w:w="1752"/>
        <w:gridCol w:w="2752"/>
        <w:gridCol w:w="4481"/>
      </w:tblGrid>
      <w:tr>
        <w:tblPrEx>
          <w:tblCellMar>
            <w:top w:w="15" w:type="dxa"/>
            <w:left w:w="15" w:type="dxa"/>
            <w:bottom w:w="15" w:type="dxa"/>
            <w:right w:w="15" w:type="dxa"/>
          </w:tblCellMar>
        </w:tblPrEx>
        <w:trPr>
          <w:cantSplit/>
          <w:trHeight w:val="486" w:hRule="atLeast"/>
        </w:trPr>
        <w:tc>
          <w:tcPr>
            <w:tcW w:w="1752"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硬件</w:t>
            </w:r>
          </w:p>
        </w:tc>
        <w:tc>
          <w:tcPr>
            <w:tcW w:w="2752"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推荐配置</w:t>
            </w:r>
          </w:p>
        </w:tc>
        <w:tc>
          <w:tcPr>
            <w:tcW w:w="4481"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最低配置</w:t>
            </w:r>
          </w:p>
        </w:tc>
      </w:tr>
      <w:tr>
        <w:tblPrEx>
          <w:tblCellMar>
            <w:top w:w="15" w:type="dxa"/>
            <w:left w:w="15" w:type="dxa"/>
            <w:bottom w:w="15" w:type="dxa"/>
            <w:right w:w="15" w:type="dxa"/>
          </w:tblCellMar>
        </w:tblPrEx>
        <w:trPr>
          <w:cantSplit/>
          <w:trHeight w:val="365" w:hRule="atLeast"/>
        </w:trPr>
        <w:tc>
          <w:tcPr>
            <w:tcW w:w="1752"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CPU</w:t>
            </w:r>
          </w:p>
        </w:tc>
        <w:tc>
          <w:tcPr>
            <w:tcW w:w="7233" w:type="dxa"/>
            <w:gridSpan w:val="2"/>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P4IG以上</w:t>
            </w:r>
          </w:p>
        </w:tc>
      </w:tr>
      <w:tr>
        <w:tblPrEx>
          <w:tblCellMar>
            <w:top w:w="15" w:type="dxa"/>
            <w:left w:w="15" w:type="dxa"/>
            <w:bottom w:w="15" w:type="dxa"/>
            <w:right w:w="15" w:type="dxa"/>
          </w:tblCellMar>
        </w:tblPrEx>
        <w:trPr>
          <w:cantSplit/>
          <w:trHeight w:val="374" w:hRule="atLeast"/>
        </w:trPr>
        <w:tc>
          <w:tcPr>
            <w:tcW w:w="1752"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RAM</w:t>
            </w:r>
          </w:p>
        </w:tc>
        <w:tc>
          <w:tcPr>
            <w:tcW w:w="2752"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1GB以上</w:t>
            </w:r>
          </w:p>
        </w:tc>
        <w:tc>
          <w:tcPr>
            <w:tcW w:w="4481"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512MB以上</w:t>
            </w:r>
          </w:p>
        </w:tc>
      </w:tr>
      <w:tr>
        <w:tblPrEx>
          <w:tblCellMar>
            <w:top w:w="15" w:type="dxa"/>
            <w:left w:w="15" w:type="dxa"/>
            <w:bottom w:w="15" w:type="dxa"/>
            <w:right w:w="15" w:type="dxa"/>
          </w:tblCellMar>
        </w:tblPrEx>
        <w:trPr>
          <w:cantSplit/>
          <w:trHeight w:val="489" w:hRule="atLeast"/>
        </w:trPr>
        <w:tc>
          <w:tcPr>
            <w:tcW w:w="1752"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硬盘</w:t>
            </w:r>
          </w:p>
        </w:tc>
        <w:tc>
          <w:tcPr>
            <w:tcW w:w="7233" w:type="dxa"/>
            <w:gridSpan w:val="2"/>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10G以上(考试系统安装所在盘预留空间5G以上)</w:t>
            </w:r>
          </w:p>
        </w:tc>
      </w:tr>
      <w:tr>
        <w:tblPrEx>
          <w:tblCellMar>
            <w:top w:w="15" w:type="dxa"/>
            <w:left w:w="15" w:type="dxa"/>
            <w:bottom w:w="15" w:type="dxa"/>
            <w:right w:w="15" w:type="dxa"/>
          </w:tblCellMar>
        </w:tblPrEx>
        <w:trPr>
          <w:cantSplit/>
          <w:trHeight w:val="373" w:hRule="atLeast"/>
        </w:trPr>
        <w:tc>
          <w:tcPr>
            <w:tcW w:w="1752"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网卡</w:t>
            </w:r>
          </w:p>
        </w:tc>
        <w:tc>
          <w:tcPr>
            <w:tcW w:w="7233" w:type="dxa"/>
            <w:gridSpan w:val="2"/>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100M自适应网卡</w:t>
            </w:r>
          </w:p>
        </w:tc>
      </w:tr>
      <w:tr>
        <w:tblPrEx>
          <w:tblCellMar>
            <w:top w:w="15" w:type="dxa"/>
            <w:left w:w="15" w:type="dxa"/>
            <w:bottom w:w="15" w:type="dxa"/>
            <w:right w:w="15" w:type="dxa"/>
          </w:tblCellMar>
        </w:tblPrEx>
        <w:trPr>
          <w:cantSplit/>
          <w:trHeight w:val="458" w:hRule="atLeast"/>
        </w:trPr>
        <w:tc>
          <w:tcPr>
            <w:tcW w:w="1752"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显存</w:t>
            </w:r>
          </w:p>
        </w:tc>
        <w:tc>
          <w:tcPr>
            <w:tcW w:w="2752"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8M以上</w:t>
            </w:r>
          </w:p>
        </w:tc>
        <w:tc>
          <w:tcPr>
            <w:tcW w:w="4481"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2M以上</w:t>
            </w:r>
          </w:p>
        </w:tc>
      </w:tr>
      <w:tr>
        <w:tblPrEx>
          <w:tblCellMar>
            <w:top w:w="15" w:type="dxa"/>
            <w:left w:w="15" w:type="dxa"/>
            <w:bottom w:w="15" w:type="dxa"/>
            <w:right w:w="15" w:type="dxa"/>
          </w:tblCellMar>
        </w:tblPrEx>
        <w:trPr>
          <w:cantSplit/>
          <w:trHeight w:val="500" w:hRule="atLeast"/>
        </w:trPr>
        <w:tc>
          <w:tcPr>
            <w:tcW w:w="1752"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显卡</w:t>
            </w:r>
          </w:p>
        </w:tc>
        <w:tc>
          <w:tcPr>
            <w:tcW w:w="7233" w:type="dxa"/>
            <w:gridSpan w:val="2"/>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支持1024*768、32位真彩色</w:t>
            </w:r>
          </w:p>
        </w:tc>
      </w:tr>
      <w:tr>
        <w:tblPrEx>
          <w:tblCellMar>
            <w:top w:w="15" w:type="dxa"/>
            <w:left w:w="15" w:type="dxa"/>
            <w:bottom w:w="15" w:type="dxa"/>
            <w:right w:w="15" w:type="dxa"/>
          </w:tblCellMar>
        </w:tblPrEx>
        <w:trPr>
          <w:cantSplit/>
          <w:trHeight w:val="457" w:hRule="atLeast"/>
        </w:trPr>
        <w:tc>
          <w:tcPr>
            <w:tcW w:w="1752"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显示器</w:t>
            </w:r>
          </w:p>
        </w:tc>
        <w:tc>
          <w:tcPr>
            <w:tcW w:w="7233" w:type="dxa"/>
            <w:gridSpan w:val="2"/>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普通15寸以上彩色显示器</w:t>
            </w:r>
          </w:p>
        </w:tc>
      </w:tr>
      <w:tr>
        <w:tblPrEx>
          <w:tblCellMar>
            <w:top w:w="15" w:type="dxa"/>
            <w:left w:w="15" w:type="dxa"/>
            <w:bottom w:w="15" w:type="dxa"/>
            <w:right w:w="15" w:type="dxa"/>
          </w:tblCellMar>
        </w:tblPrEx>
        <w:trPr>
          <w:cantSplit/>
          <w:trHeight w:val="403" w:hRule="atLeast"/>
        </w:trPr>
        <w:tc>
          <w:tcPr>
            <w:tcW w:w="1752"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其他</w:t>
            </w:r>
          </w:p>
        </w:tc>
        <w:tc>
          <w:tcPr>
            <w:tcW w:w="7233" w:type="dxa"/>
            <w:gridSpan w:val="2"/>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如有硬盘保护卡，必须删除</w:t>
            </w:r>
          </w:p>
        </w:tc>
      </w:tr>
      <w:tr>
        <w:tblPrEx>
          <w:tblCellMar>
            <w:top w:w="15" w:type="dxa"/>
            <w:left w:w="15" w:type="dxa"/>
            <w:bottom w:w="15" w:type="dxa"/>
            <w:right w:w="15" w:type="dxa"/>
          </w:tblCellMar>
        </w:tblPrEx>
        <w:trPr>
          <w:cantSplit/>
          <w:trHeight w:val="1041" w:hRule="atLeast"/>
        </w:trPr>
        <w:tc>
          <w:tcPr>
            <w:tcW w:w="1752"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软件</w:t>
            </w:r>
          </w:p>
        </w:tc>
        <w:tc>
          <w:tcPr>
            <w:tcW w:w="7233" w:type="dxa"/>
            <w:gridSpan w:val="2"/>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WindowsXP/7/10</w:t>
            </w:r>
          </w:p>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InternetExplorer8.0或以上版本浏览器</w:t>
            </w:r>
          </w:p>
        </w:tc>
      </w:tr>
    </w:tbl>
    <w:p>
      <w:pPr>
        <w:rPr>
          <w:rFonts w:ascii="仿宋" w:hAnsi="仿宋" w:eastAsia="仿宋" w:cs="仿宋"/>
          <w:b/>
          <w:bCs/>
          <w:sz w:val="28"/>
          <w:szCs w:val="28"/>
        </w:rPr>
      </w:pPr>
      <w:r>
        <w:rPr>
          <w:rFonts w:hint="eastAsia" w:ascii="仿宋" w:hAnsi="仿宋" w:eastAsia="仿宋" w:cs="仿宋"/>
          <w:b/>
          <w:bCs/>
          <w:sz w:val="28"/>
          <w:szCs w:val="28"/>
        </w:rPr>
        <w:t>网络环境要求：</w:t>
      </w:r>
    </w:p>
    <w:tbl>
      <w:tblPr>
        <w:tblStyle w:val="2"/>
        <w:tblW w:w="8985" w:type="dxa"/>
        <w:tblInd w:w="-324" w:type="dxa"/>
        <w:tblLayout w:type="fixed"/>
        <w:tblCellMar>
          <w:top w:w="15" w:type="dxa"/>
          <w:left w:w="15" w:type="dxa"/>
          <w:bottom w:w="15" w:type="dxa"/>
          <w:right w:w="15" w:type="dxa"/>
        </w:tblCellMar>
      </w:tblPr>
      <w:tblGrid>
        <w:gridCol w:w="1779"/>
        <w:gridCol w:w="7206"/>
      </w:tblGrid>
      <w:tr>
        <w:tblPrEx>
          <w:tblCellMar>
            <w:top w:w="15" w:type="dxa"/>
            <w:left w:w="15" w:type="dxa"/>
            <w:bottom w:w="15" w:type="dxa"/>
            <w:right w:w="15" w:type="dxa"/>
          </w:tblCellMar>
        </w:tblPrEx>
        <w:trPr>
          <w:trHeight w:val="1021" w:hRule="atLeast"/>
        </w:trPr>
        <w:tc>
          <w:tcPr>
            <w:tcW w:w="1779"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网络环境</w:t>
            </w:r>
          </w:p>
        </w:tc>
        <w:tc>
          <w:tcPr>
            <w:tcW w:w="7206"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网络联接可使用交换机或HUB(建议使用交换机)、采用互联网专线，固定公网IP地址。</w:t>
            </w:r>
          </w:p>
        </w:tc>
      </w:tr>
    </w:tbl>
    <w:p>
      <w:pPr>
        <w:rPr>
          <w:rFonts w:ascii="仿宋" w:hAnsi="仿宋" w:eastAsia="仿宋" w:cs="仿宋"/>
          <w:b/>
          <w:bCs/>
          <w:sz w:val="28"/>
          <w:szCs w:val="28"/>
        </w:rPr>
      </w:pPr>
    </w:p>
    <w:p>
      <w:pPr>
        <w:rPr>
          <w:rFonts w:ascii="仿宋" w:hAnsi="仿宋" w:eastAsia="仿宋" w:cs="仿宋"/>
          <w:b/>
          <w:bCs/>
          <w:sz w:val="28"/>
          <w:szCs w:val="28"/>
        </w:rPr>
      </w:pPr>
      <w:r>
        <w:rPr>
          <w:rFonts w:hint="eastAsia" w:ascii="仿宋" w:hAnsi="仿宋" w:eastAsia="仿宋" w:cs="仿宋"/>
          <w:b/>
          <w:bCs/>
          <w:sz w:val="28"/>
          <w:szCs w:val="28"/>
        </w:rPr>
        <w:t>考场监控、身份识别设备要求：</w:t>
      </w:r>
    </w:p>
    <w:tbl>
      <w:tblPr>
        <w:tblStyle w:val="2"/>
        <w:tblW w:w="8985" w:type="dxa"/>
        <w:tblInd w:w="-324" w:type="dxa"/>
        <w:tblLayout w:type="fixed"/>
        <w:tblCellMar>
          <w:top w:w="15" w:type="dxa"/>
          <w:left w:w="15" w:type="dxa"/>
          <w:bottom w:w="15" w:type="dxa"/>
          <w:right w:w="15" w:type="dxa"/>
        </w:tblCellMar>
      </w:tblPr>
      <w:tblGrid>
        <w:gridCol w:w="1779"/>
        <w:gridCol w:w="7206"/>
      </w:tblGrid>
      <w:tr>
        <w:tblPrEx>
          <w:tblCellMar>
            <w:top w:w="15" w:type="dxa"/>
            <w:left w:w="15" w:type="dxa"/>
            <w:bottom w:w="15" w:type="dxa"/>
            <w:right w:w="15" w:type="dxa"/>
          </w:tblCellMar>
        </w:tblPrEx>
        <w:trPr>
          <w:trHeight w:val="1021" w:hRule="atLeast"/>
        </w:trPr>
        <w:tc>
          <w:tcPr>
            <w:tcW w:w="1779"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身份识别</w:t>
            </w:r>
          </w:p>
        </w:tc>
        <w:tc>
          <w:tcPr>
            <w:tcW w:w="7206"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 xml:space="preserve">使用经甘肃建投智能工程有限公司加密供应的华旭第二代身份证识别器HX-FDX3S（经公安部备案认证）    </w:t>
            </w:r>
          </w:p>
        </w:tc>
      </w:tr>
      <w:tr>
        <w:tblPrEx>
          <w:tblCellMar>
            <w:top w:w="15" w:type="dxa"/>
            <w:left w:w="15" w:type="dxa"/>
            <w:bottom w:w="15" w:type="dxa"/>
            <w:right w:w="15" w:type="dxa"/>
          </w:tblCellMar>
        </w:tblPrEx>
        <w:trPr>
          <w:trHeight w:val="1021" w:hRule="atLeast"/>
        </w:trPr>
        <w:tc>
          <w:tcPr>
            <w:tcW w:w="1779"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视频监控</w:t>
            </w:r>
          </w:p>
        </w:tc>
        <w:tc>
          <w:tcPr>
            <w:tcW w:w="7206"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spacing w:line="360" w:lineRule="auto"/>
              <w:rPr>
                <w:rFonts w:ascii="仿宋" w:hAnsi="仿宋" w:eastAsia="仿宋" w:cs="仿宋"/>
                <w:b/>
                <w:bCs/>
                <w:spacing w:val="-3"/>
                <w:sz w:val="28"/>
                <w:szCs w:val="28"/>
              </w:rPr>
            </w:pPr>
            <w:r>
              <w:rPr>
                <w:rFonts w:hint="eastAsia" w:ascii="仿宋" w:hAnsi="仿宋" w:eastAsia="仿宋" w:cs="仿宋"/>
                <w:b/>
                <w:bCs/>
                <w:spacing w:val="-3"/>
                <w:sz w:val="28"/>
                <w:szCs w:val="28"/>
              </w:rPr>
              <w:t>摄像头</w:t>
            </w:r>
          </w:p>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支持云储存；支持远程调用；</w:t>
            </w:r>
          </w:p>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支持远程操控360度旋转；</w:t>
            </w:r>
          </w:p>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支持远程语音播报；</w:t>
            </w:r>
          </w:p>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支持远程语音通话；</w:t>
            </w:r>
          </w:p>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支持视屏远近缩放；</w:t>
            </w:r>
          </w:p>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为保证远程操控及查看的清晰度，像素要求必须不得低于400万像素；</w:t>
            </w:r>
          </w:p>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每台摄像头配备不低于128G内存的本地存储卡；</w:t>
            </w:r>
          </w:p>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支持夜视模式；</w:t>
            </w:r>
          </w:p>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设备建议使用一体化的室内360度旋转球机。</w:t>
            </w:r>
          </w:p>
          <w:p>
            <w:pPr>
              <w:spacing w:line="360" w:lineRule="auto"/>
              <w:rPr>
                <w:rFonts w:ascii="仿宋" w:hAnsi="仿宋" w:eastAsia="仿宋" w:cs="仿宋"/>
                <w:b/>
                <w:bCs/>
                <w:spacing w:val="-3"/>
                <w:sz w:val="28"/>
                <w:szCs w:val="28"/>
              </w:rPr>
            </w:pPr>
            <w:r>
              <w:rPr>
                <w:rFonts w:hint="eastAsia" w:ascii="仿宋" w:hAnsi="仿宋" w:eastAsia="仿宋" w:cs="仿宋"/>
                <w:b/>
                <w:bCs/>
                <w:spacing w:val="-3"/>
                <w:sz w:val="28"/>
                <w:szCs w:val="28"/>
              </w:rPr>
              <w:t>推荐产品：</w:t>
            </w:r>
          </w:p>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C6Wi   400万   带云平台    特别推荐</w:t>
            </w:r>
          </w:p>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 xml:space="preserve">XP1    400万   带云平台  </w:t>
            </w:r>
          </w:p>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 xml:space="preserve">C3HC   400万   带云平台  </w:t>
            </w:r>
          </w:p>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 xml:space="preserve">DS-2DC2IW-D3/W   400万   带云平台  </w:t>
            </w:r>
          </w:p>
          <w:p>
            <w:pPr>
              <w:spacing w:line="360" w:lineRule="auto"/>
              <w:rPr>
                <w:rFonts w:ascii="仿宋" w:hAnsi="仿宋" w:eastAsia="仿宋" w:cs="仿宋"/>
                <w:spacing w:val="-3"/>
                <w:sz w:val="28"/>
                <w:szCs w:val="28"/>
              </w:rPr>
            </w:pPr>
            <w:r>
              <w:rPr>
                <w:rFonts w:hint="eastAsia" w:ascii="仿宋" w:hAnsi="仿宋" w:eastAsia="仿宋" w:cs="仿宋"/>
                <w:spacing w:val="-3"/>
                <w:sz w:val="28"/>
                <w:szCs w:val="28"/>
              </w:rPr>
              <w:t xml:space="preserve">DS-2DC204IW-D3/W  400万   带云平台 </w:t>
            </w:r>
          </w:p>
        </w:tc>
      </w:tr>
    </w:tbl>
    <w:p>
      <w:pPr>
        <w:rPr>
          <w:rFonts w:ascii="仿宋" w:hAnsi="仿宋" w:eastAsia="仿宋" w:cs="仿宋"/>
          <w:sz w:val="28"/>
          <w:szCs w:val="28"/>
        </w:rPr>
      </w:pPr>
      <w:r>
        <w:rPr>
          <w:rFonts w:ascii="仿宋" w:hAnsi="仿宋" w:eastAsia="仿宋" w:cs="仿宋"/>
          <w:sz w:val="28"/>
          <w:szCs w:val="28"/>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523E6F"/>
    <w:rsid w:val="0B523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2020-12-08T10:07:00Z</dcterms:created>
  <dc:creator>张磊</dc:creator>
  <cp:lastModifiedBy>张磊</cp:lastModifiedBy>
  <dcterms:modified xsi:type="dcterms:W3CDTF">2020-12-08T10:07:57Z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